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1C" w:rsidRDefault="0072281C" w:rsidP="0072281C">
      <w:pPr>
        <w:pStyle w:val="a3"/>
        <w:shd w:val="clear" w:color="auto" w:fill="FFFAEB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383C45"/>
          <w:bdr w:val="none" w:sz="0" w:space="0" w:color="auto" w:frame="1"/>
        </w:rPr>
      </w:pPr>
      <w:r>
        <w:rPr>
          <w:rFonts w:ascii="Arial" w:hAnsi="Arial" w:cs="Arial"/>
          <w:color w:val="383C45"/>
          <w:bdr w:val="none" w:sz="0" w:space="0" w:color="auto" w:frame="1"/>
        </w:rPr>
        <w:t>Изменения в</w:t>
      </w:r>
      <w:r w:rsidR="002061E6">
        <w:rPr>
          <w:rFonts w:ascii="Arial" w:hAnsi="Arial" w:cs="Arial"/>
          <w:color w:val="383C45"/>
          <w:bdr w:val="none" w:sz="0" w:space="0" w:color="auto" w:frame="1"/>
        </w:rPr>
        <w:t xml:space="preserve"> </w:t>
      </w:r>
      <w:r>
        <w:rPr>
          <w:rFonts w:ascii="Arial" w:hAnsi="Arial" w:cs="Arial"/>
          <w:color w:val="383C45"/>
          <w:bdr w:val="none" w:sz="0" w:space="0" w:color="auto" w:frame="1"/>
        </w:rPr>
        <w:t>АПК РФ (</w:t>
      </w:r>
      <w:r w:rsidR="00C26DE6">
        <w:rPr>
          <w:rFonts w:ascii="Arial" w:hAnsi="Arial" w:cs="Arial"/>
          <w:color w:val="383C45"/>
          <w:bdr w:val="none" w:sz="0" w:space="0" w:color="auto" w:frame="1"/>
        </w:rPr>
        <w:t>в</w:t>
      </w:r>
      <w:bookmarkStart w:id="0" w:name="_GoBack"/>
      <w:bookmarkEnd w:id="0"/>
      <w:r>
        <w:rPr>
          <w:rFonts w:ascii="Arial" w:hAnsi="Arial" w:cs="Arial"/>
          <w:color w:val="383C45"/>
          <w:bdr w:val="none" w:sz="0" w:space="0" w:color="auto" w:frame="1"/>
        </w:rPr>
        <w:t>ступили в силу с 01.10.2019)</w:t>
      </w:r>
    </w:p>
    <w:p w:rsidR="0072281C" w:rsidRDefault="0072281C" w:rsidP="002061E6">
      <w:pPr>
        <w:pStyle w:val="a3"/>
        <w:shd w:val="clear" w:color="auto" w:fill="FFFAEB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83C45"/>
          <w:bdr w:val="none" w:sz="0" w:space="0" w:color="auto" w:frame="1"/>
        </w:rPr>
      </w:pPr>
    </w:p>
    <w:p w:rsidR="002061E6" w:rsidRDefault="002061E6" w:rsidP="002061E6">
      <w:pPr>
        <w:pStyle w:val="a3"/>
        <w:shd w:val="clear" w:color="auto" w:fill="FFFAEB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83C45"/>
          <w:bdr w:val="none" w:sz="0" w:space="0" w:color="auto" w:frame="1"/>
        </w:rPr>
      </w:pPr>
      <w:r>
        <w:rPr>
          <w:rFonts w:ascii="Arial" w:hAnsi="Arial" w:cs="Arial"/>
          <w:color w:val="383C45"/>
          <w:bdr w:val="none" w:sz="0" w:space="0" w:color="auto" w:frame="1"/>
        </w:rPr>
        <w:t>28 ноября 2018 года был принят Федеральный закон №451-ФЗ, который вносит ряд существенных поправок в процессуальное законодательство, вступающих в силу с 01.10.2019</w:t>
      </w:r>
    </w:p>
    <w:p w:rsidR="002061E6" w:rsidRDefault="002061E6" w:rsidP="002061E6">
      <w:pPr>
        <w:pStyle w:val="a3"/>
        <w:shd w:val="clear" w:color="auto" w:fill="FFFAEB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</w:rPr>
      </w:pPr>
    </w:p>
    <w:p w:rsidR="002061E6" w:rsidRDefault="002061E6" w:rsidP="002061E6">
      <w:pPr>
        <w:pStyle w:val="a3"/>
        <w:shd w:val="clear" w:color="auto" w:fill="FFFAEB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83C45"/>
          <w:bdr w:val="none" w:sz="0" w:space="0" w:color="auto" w:frame="1"/>
        </w:rPr>
      </w:pPr>
      <w:r>
        <w:rPr>
          <w:rStyle w:val="a4"/>
          <w:rFonts w:ascii="Arial" w:hAnsi="Arial" w:cs="Arial"/>
          <w:color w:val="383C45"/>
          <w:bdr w:val="none" w:sz="0" w:space="0" w:color="auto" w:frame="1"/>
        </w:rPr>
        <w:t>Новые сроки</w:t>
      </w:r>
      <w:r>
        <w:rPr>
          <w:rFonts w:ascii="Arial" w:hAnsi="Arial" w:cs="Arial"/>
          <w:color w:val="383C45"/>
          <w:bdr w:val="none" w:sz="0" w:space="0" w:color="auto" w:frame="1"/>
        </w:rPr>
        <w:t>. 6 месяцев вместо 3 – на рассмотрение дела в суде первой инстанции (и 9 месяцев вместо 6 – для особо сложных дел); 5 дней вместо 3 – на подачу замечаний на протокол; 3 месяца вместо 6 – на подачу заявления о взыскании судебных расходов; 12 месяцев вместо 6 – на обращение с ходатайством о восстановлении пропущенного срока.</w:t>
      </w:r>
    </w:p>
    <w:p w:rsidR="002061E6" w:rsidRDefault="002061E6" w:rsidP="002061E6">
      <w:pPr>
        <w:pStyle w:val="a3"/>
        <w:shd w:val="clear" w:color="auto" w:fill="FFFAEB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</w:rPr>
      </w:pPr>
    </w:p>
    <w:p w:rsidR="002061E6" w:rsidRDefault="002061E6" w:rsidP="002061E6">
      <w:pPr>
        <w:pStyle w:val="a3"/>
        <w:shd w:val="clear" w:color="auto" w:fill="FFFAEB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</w:rPr>
      </w:pPr>
      <w:r>
        <w:rPr>
          <w:rStyle w:val="a4"/>
          <w:rFonts w:ascii="Arial" w:hAnsi="Arial" w:cs="Arial"/>
          <w:color w:val="383C45"/>
          <w:bdr w:val="none" w:sz="0" w:space="0" w:color="auto" w:frame="1"/>
        </w:rPr>
        <w:t>Профессиональное представительство</w:t>
      </w:r>
      <w:r>
        <w:rPr>
          <w:rFonts w:ascii="Arial" w:hAnsi="Arial" w:cs="Arial"/>
          <w:color w:val="383C45"/>
          <w:bdr w:val="none" w:sz="0" w:space="0" w:color="auto" w:frame="1"/>
        </w:rPr>
        <w:t>. Для участия в процессе в качестве представителя понадобится предъявлять диплом о высшем юридическом образовании или подтверждать ученую степень по юридической специальности.</w:t>
      </w:r>
    </w:p>
    <w:p w:rsidR="002061E6" w:rsidRDefault="002061E6" w:rsidP="002061E6">
      <w:pPr>
        <w:pStyle w:val="a3"/>
        <w:shd w:val="clear" w:color="auto" w:fill="FFFAEB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</w:rPr>
      </w:pPr>
      <w:r>
        <w:rPr>
          <w:rFonts w:ascii="Arial" w:hAnsi="Arial" w:cs="Arial"/>
          <w:color w:val="383C45"/>
          <w:bdr w:val="none" w:sz="0" w:space="0" w:color="auto" w:frame="1"/>
        </w:rPr>
        <w:t>Не будет распространятся требование о высшем юридическом образовании на патентных поверенных по спорам об охране интеллектуальной собственности, арбитражных управляющих в делах о банкротстве, представителей профсоюзов.</w:t>
      </w:r>
    </w:p>
    <w:p w:rsidR="002061E6" w:rsidRDefault="002061E6" w:rsidP="002061E6">
      <w:pPr>
        <w:pStyle w:val="a3"/>
        <w:shd w:val="clear" w:color="auto" w:fill="FFFAEB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83C45"/>
          <w:bdr w:val="none" w:sz="0" w:space="0" w:color="auto" w:frame="1"/>
        </w:rPr>
      </w:pPr>
      <w:r>
        <w:rPr>
          <w:rFonts w:ascii="Arial" w:hAnsi="Arial" w:cs="Arial"/>
          <w:color w:val="383C45"/>
          <w:bdr w:val="none" w:sz="0" w:space="0" w:color="auto" w:frame="1"/>
        </w:rPr>
        <w:t>Правило не будет действовать для законных представителей. Например, генеральному директору не потребуется специально получать юридическое образование или ученую степень, чтобы представлять интересы компании в арбитражном суде. </w:t>
      </w:r>
    </w:p>
    <w:p w:rsidR="002061E6" w:rsidRDefault="002061E6" w:rsidP="002061E6">
      <w:pPr>
        <w:pStyle w:val="a3"/>
        <w:shd w:val="clear" w:color="auto" w:fill="FFFAEB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</w:rPr>
      </w:pPr>
    </w:p>
    <w:p w:rsidR="002061E6" w:rsidRDefault="002061E6" w:rsidP="002061E6">
      <w:pPr>
        <w:pStyle w:val="a3"/>
        <w:shd w:val="clear" w:color="auto" w:fill="FFFAEB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83C45"/>
          <w:bdr w:val="none" w:sz="0" w:space="0" w:color="auto" w:frame="1"/>
        </w:rPr>
      </w:pPr>
      <w:r>
        <w:rPr>
          <w:rStyle w:val="a4"/>
          <w:rFonts w:ascii="Arial" w:hAnsi="Arial" w:cs="Arial"/>
          <w:color w:val="383C45"/>
          <w:bdr w:val="none" w:sz="0" w:space="0" w:color="auto" w:frame="1"/>
        </w:rPr>
        <w:t>Новые правила отвода</w:t>
      </w:r>
      <w:r>
        <w:rPr>
          <w:rFonts w:ascii="Arial" w:hAnsi="Arial" w:cs="Arial"/>
          <w:color w:val="383C45"/>
          <w:bdr w:val="none" w:sz="0" w:space="0" w:color="auto" w:frame="1"/>
        </w:rPr>
        <w:t>. Меняются правила для отвода судей арбитражных судов. Судьи будут решать вопрос о собственном отводе сами.</w:t>
      </w:r>
    </w:p>
    <w:p w:rsidR="002061E6" w:rsidRDefault="002061E6" w:rsidP="002061E6">
      <w:pPr>
        <w:pStyle w:val="a3"/>
        <w:shd w:val="clear" w:color="auto" w:fill="FFFAEB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</w:rPr>
      </w:pPr>
    </w:p>
    <w:p w:rsidR="002061E6" w:rsidRDefault="002061E6" w:rsidP="002061E6">
      <w:pPr>
        <w:pStyle w:val="a3"/>
        <w:shd w:val="clear" w:color="auto" w:fill="FFFAEB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83C45"/>
          <w:bdr w:val="none" w:sz="0" w:space="0" w:color="auto" w:frame="1"/>
        </w:rPr>
      </w:pPr>
      <w:r>
        <w:rPr>
          <w:rStyle w:val="a4"/>
          <w:rFonts w:ascii="Arial" w:hAnsi="Arial" w:cs="Arial"/>
          <w:color w:val="383C45"/>
          <w:bdr w:val="none" w:sz="0" w:space="0" w:color="auto" w:frame="1"/>
        </w:rPr>
        <w:t>Новые суммы упрощенного производства</w:t>
      </w:r>
      <w:r>
        <w:rPr>
          <w:rFonts w:ascii="Arial" w:hAnsi="Arial" w:cs="Arial"/>
          <w:color w:val="383C45"/>
          <w:bdr w:val="none" w:sz="0" w:space="0" w:color="auto" w:frame="1"/>
        </w:rPr>
        <w:t>. В арбитражном процессе по правилам упрощенного производства будут рассматривать дела с ценой иска до 400 000 руб. для индивидуальных предпринимателей и до 800 000 руб. для юридических лиц. По публично-правовым делам сохраняется порог в 100 000 руб. Унифицируется приказное производство: установлен единый размер требований в пределах 500 000 руб.</w:t>
      </w:r>
    </w:p>
    <w:p w:rsidR="002061E6" w:rsidRDefault="002061E6" w:rsidP="002061E6">
      <w:pPr>
        <w:pStyle w:val="a3"/>
        <w:shd w:val="clear" w:color="auto" w:fill="FFFAEB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</w:rPr>
      </w:pPr>
    </w:p>
    <w:p w:rsidR="002061E6" w:rsidRDefault="002061E6" w:rsidP="002061E6">
      <w:pPr>
        <w:pStyle w:val="a3"/>
        <w:shd w:val="clear" w:color="auto" w:fill="FFFAEB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83C45"/>
          <w:bdr w:val="none" w:sz="0" w:space="0" w:color="auto" w:frame="1"/>
        </w:rPr>
      </w:pPr>
      <w:r>
        <w:rPr>
          <w:rStyle w:val="a4"/>
          <w:rFonts w:ascii="Arial" w:hAnsi="Arial" w:cs="Arial"/>
          <w:color w:val="383C45"/>
          <w:bdr w:val="none" w:sz="0" w:space="0" w:color="auto" w:frame="1"/>
        </w:rPr>
        <w:t>Компетенция вместо подведомственности</w:t>
      </w:r>
      <w:r>
        <w:rPr>
          <w:rFonts w:ascii="Arial" w:hAnsi="Arial" w:cs="Arial"/>
          <w:color w:val="383C45"/>
          <w:bdr w:val="none" w:sz="0" w:space="0" w:color="auto" w:frame="1"/>
        </w:rPr>
        <w:t>. «Подведомственность» заменяется «компетенцией», но кроме замены терминов немного меняются и сами процессуальные правила. Если арбитражный суд установит, что дело должен рассмотреть суд общей юрисдикции, то он не прекратит производство, а передаст материалы «по компетенции».</w:t>
      </w:r>
    </w:p>
    <w:p w:rsidR="002061E6" w:rsidRDefault="002061E6" w:rsidP="002061E6">
      <w:pPr>
        <w:pStyle w:val="a3"/>
        <w:shd w:val="clear" w:color="auto" w:fill="FFFAEB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</w:rPr>
      </w:pPr>
    </w:p>
    <w:p w:rsidR="002061E6" w:rsidRDefault="002061E6" w:rsidP="002061E6">
      <w:pPr>
        <w:pStyle w:val="a3"/>
        <w:shd w:val="clear" w:color="auto" w:fill="FFFAEB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83C45"/>
          <w:bdr w:val="none" w:sz="0" w:space="0" w:color="auto" w:frame="1"/>
        </w:rPr>
      </w:pPr>
      <w:r>
        <w:rPr>
          <w:rStyle w:val="a4"/>
          <w:rFonts w:ascii="Arial" w:hAnsi="Arial" w:cs="Arial"/>
          <w:color w:val="383C45"/>
          <w:bdr w:val="none" w:sz="0" w:space="0" w:color="auto" w:frame="1"/>
        </w:rPr>
        <w:t>Порядок в процессе</w:t>
      </w:r>
      <w:r>
        <w:rPr>
          <w:rFonts w:ascii="Arial" w:hAnsi="Arial" w:cs="Arial"/>
          <w:color w:val="383C45"/>
          <w:bdr w:val="none" w:sz="0" w:space="0" w:color="auto" w:frame="1"/>
        </w:rPr>
        <w:t>. Председательствующий судья сможет ограничить право на выступление участника, если тот «самовольно нарушает последовательность выступлений, дважды не исполняет требования председательствующего, допускает грубые выражения или оскорбительные высказывания либо призывает к осуществлению действий, преследуемых в соответствии с законом».</w:t>
      </w:r>
    </w:p>
    <w:p w:rsidR="002061E6" w:rsidRDefault="002061E6" w:rsidP="002061E6">
      <w:pPr>
        <w:pStyle w:val="a3"/>
        <w:shd w:val="clear" w:color="auto" w:fill="FFFAEB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</w:rPr>
      </w:pPr>
    </w:p>
    <w:p w:rsidR="002061E6" w:rsidRDefault="002061E6" w:rsidP="002061E6">
      <w:pPr>
        <w:pStyle w:val="a3"/>
        <w:shd w:val="clear" w:color="auto" w:fill="FFFAEB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</w:rPr>
      </w:pPr>
      <w:r>
        <w:rPr>
          <w:rStyle w:val="a4"/>
          <w:rFonts w:ascii="Arial" w:hAnsi="Arial" w:cs="Arial"/>
          <w:color w:val="383C45"/>
          <w:bdr w:val="none" w:sz="0" w:space="0" w:color="auto" w:frame="1"/>
        </w:rPr>
        <w:t>Порядок выдачи исполнительных листов</w:t>
      </w:r>
      <w:r>
        <w:rPr>
          <w:rFonts w:ascii="Arial" w:hAnsi="Arial" w:cs="Arial"/>
          <w:color w:val="383C45"/>
          <w:bdr w:val="none" w:sz="0" w:space="0" w:color="auto" w:frame="1"/>
        </w:rPr>
        <w:t>. Исполнительный лист будет выдаваться только по ходатайству взыскателя или по его ходатайству направляться для исполнения непосредственно арбитражным судом.</w:t>
      </w:r>
    </w:p>
    <w:p w:rsidR="002061E6" w:rsidRDefault="002061E6" w:rsidP="002061E6">
      <w:pPr>
        <w:pStyle w:val="a3"/>
        <w:shd w:val="clear" w:color="auto" w:fill="FFFAEB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</w:rPr>
      </w:pPr>
      <w:r>
        <w:rPr>
          <w:rFonts w:ascii="Arial" w:hAnsi="Arial" w:cs="Arial"/>
          <w:color w:val="383C45"/>
          <w:bdr w:val="none" w:sz="0" w:space="0" w:color="auto" w:frame="1"/>
        </w:rPr>
        <w:t>Для направления исполнительного листа на взыскание денежных средств в доход бюджета ходатайство взыскателя не требуется.</w:t>
      </w:r>
    </w:p>
    <w:p w:rsidR="001D021D" w:rsidRDefault="001D021D"/>
    <w:sectPr w:rsidR="001D021D" w:rsidSect="0072281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E6"/>
    <w:rsid w:val="001D021D"/>
    <w:rsid w:val="002061E6"/>
    <w:rsid w:val="0072281C"/>
    <w:rsid w:val="00BD3B47"/>
    <w:rsid w:val="00C2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1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</cp:lastModifiedBy>
  <cp:revision>3</cp:revision>
  <dcterms:created xsi:type="dcterms:W3CDTF">2019-10-09T05:20:00Z</dcterms:created>
  <dcterms:modified xsi:type="dcterms:W3CDTF">2019-10-14T09:54:00Z</dcterms:modified>
</cp:coreProperties>
</file>