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EB" w:rsidRDefault="003921EB" w:rsidP="003921EB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УТВЕРЖДЕН </w:t>
      </w:r>
    </w:p>
    <w:p w:rsidR="003921EB" w:rsidRDefault="003921EB" w:rsidP="003921E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Президиумом Верховного Суда </w:t>
      </w:r>
    </w:p>
    <w:p w:rsidR="003921EB" w:rsidRDefault="003921EB" w:rsidP="003921E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Российской Федерации </w:t>
      </w:r>
    </w:p>
    <w:p w:rsidR="003921EB" w:rsidRDefault="003921EB" w:rsidP="003921E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25 декабря 2019 г</w:t>
      </w:r>
      <w:r w:rsidR="00CA5D48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 xml:space="preserve"> </w:t>
      </w:r>
    </w:p>
    <w:p w:rsidR="003921EB" w:rsidRDefault="003921EB" w:rsidP="003921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ОБЗОР СУДЕБНОЙ ПРАКТИКИ</w:t>
      </w:r>
    </w:p>
    <w:p w:rsidR="003921EB" w:rsidRDefault="003921EB" w:rsidP="003921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ВЕРХОВНОГО СУДА РОССИЙСКОЙ ФЕДЕРАЦИИ</w:t>
      </w:r>
    </w:p>
    <w:p w:rsidR="003921EB" w:rsidRDefault="003921EB" w:rsidP="003921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4 (2019)</w:t>
      </w:r>
    </w:p>
    <w:p w:rsidR="003921EB" w:rsidRDefault="003921EB" w:rsidP="003921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ПРЕЗИДИУМ ВЕРХОВНОГО СУДА</w:t>
      </w:r>
    </w:p>
    <w:p w:rsidR="009935AD" w:rsidRDefault="003921EB" w:rsidP="00392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1E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921EB" w:rsidRDefault="003921EB" w:rsidP="00392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(извлечение)</w:t>
      </w:r>
    </w:p>
    <w:p w:rsidR="003921EB" w:rsidRDefault="003921EB" w:rsidP="003921E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1EB">
        <w:rPr>
          <w:rFonts w:ascii="Times New Roman" w:hAnsi="Times New Roman" w:cs="Times New Roman"/>
          <w:b/>
          <w:bCs/>
          <w:sz w:val="28"/>
          <w:szCs w:val="28"/>
        </w:rPr>
        <w:t>2. Соглашение о возможности изменения условий банковского обслуживания, в том числе и установление иных размеров банковских комиссий или новых комиссий, должно быть достигнуто до оказания клиенту (физическому лицу) финансовой услуги в форме, позволяющей однозначно установить его согласие на обслуживание на этих условиях и добровольный выбор им объёма оказанных услуг. Действующее законодательство не предусматривает право банков устанавливать специальное комиссионное вознаграждение в качестве меры противодействия легализации доходов, полученных преступным путём.</w:t>
      </w:r>
    </w:p>
    <w:p w:rsidR="003921EB" w:rsidRDefault="003921EB" w:rsidP="00392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Pr="003921EB">
        <w:rPr>
          <w:rFonts w:ascii="Times New Roman" w:hAnsi="Times New Roman" w:cs="Times New Roman"/>
          <w:sz w:val="28"/>
          <w:szCs w:val="28"/>
        </w:rPr>
        <w:t>Таким образом, закон не содержит запрета банкам изменять условия банковского обслуживания и устанавливать иные размеры комиссий или новые комиссии, но в случаях с клиентами – физическими лицами до оказания услуги должно быть достигнуто соответствующее соглашение о возможности изменения договора банковского обслуживания в форме, которая позволяет однозначно установить согласие потребителя на обслуживание на этих условиях и добровольный выбор им объёма оказанных услуг</w:t>
      </w:r>
      <w:proofErr w:type="gramEnd"/>
      <w:r w:rsidRPr="003921EB">
        <w:rPr>
          <w:rFonts w:ascii="Times New Roman" w:hAnsi="Times New Roman" w:cs="Times New Roman"/>
          <w:sz w:val="28"/>
          <w:szCs w:val="28"/>
        </w:rPr>
        <w:t>. При этом п. 12 постановления Пленума Верховного Суда Российской Федерации от 22 ноября 2016 г. № 54 «О некоторых вопросах применения общих положений Гражданского кодекса Российской Федерации об обязательствах и их исполнении» предусмотрено, что если одностороннее изменение условий обязательства совершено тогда, когда это не предусмотрено законом, иным правовым актом или соглашением сторон или не соблюдено требование к их совершению, то, по общему правилу, такое одностороннее изменение условий договора не влечёт юридических последствий, на которые они были направлены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3921EB" w:rsidRDefault="003921EB" w:rsidP="003921EB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3921EB">
        <w:rPr>
          <w:b/>
          <w:i/>
          <w:iCs/>
          <w:sz w:val="28"/>
          <w:szCs w:val="28"/>
        </w:rPr>
        <w:t>Определение № 16-КГ18-57</w:t>
      </w:r>
    </w:p>
    <w:p w:rsidR="003921EB" w:rsidRDefault="003921EB" w:rsidP="003921E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1EB">
        <w:rPr>
          <w:rFonts w:ascii="Times New Roman" w:hAnsi="Times New Roman" w:cs="Times New Roman"/>
          <w:b/>
          <w:bCs/>
          <w:sz w:val="28"/>
          <w:szCs w:val="28"/>
        </w:rPr>
        <w:t>3. В случае нарушения заёмного обязательства сумма долга подлежит расчёту исходя из валюты займа, указанной в договоре, в соответствии с п. 2 ст. 317 ГК РФ.</w:t>
      </w:r>
    </w:p>
    <w:p w:rsidR="003921EB" w:rsidRDefault="003921EB" w:rsidP="003921EB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Pr="003921EB">
        <w:rPr>
          <w:rFonts w:ascii="Times New Roman" w:hAnsi="Times New Roman" w:cs="Times New Roman"/>
          <w:sz w:val="28"/>
          <w:szCs w:val="28"/>
        </w:rPr>
        <w:t xml:space="preserve">Как разъяснено в п. 29 постановления Пленума Верховного Суда Российской Федерации от 22 ноября 2016 г. № 54 «О некоторых вопросах применения общих положений Гражданского кодекса Российской Федерации об обязательствах и их исполнении», стороны вправе в соглашении установить курс пересчёта иностранной валюты (условных денежных </w:t>
      </w:r>
      <w:r w:rsidRPr="003921EB">
        <w:rPr>
          <w:rFonts w:ascii="Times New Roman" w:hAnsi="Times New Roman" w:cs="Times New Roman"/>
          <w:sz w:val="28"/>
          <w:szCs w:val="28"/>
        </w:rPr>
        <w:lastRenderedPageBreak/>
        <w:t>единиц) в рубли или установить порядок определения такого курса.</w:t>
      </w:r>
      <w:proofErr w:type="gramEnd"/>
      <w:r w:rsidRPr="003921EB">
        <w:rPr>
          <w:rFonts w:ascii="Times New Roman" w:hAnsi="Times New Roman" w:cs="Times New Roman"/>
          <w:sz w:val="28"/>
          <w:szCs w:val="28"/>
        </w:rPr>
        <w:t xml:space="preserve"> Если законом или соглашением сторон курс и дата пересчёта не установлены, суд в соответствии с п. 2 ст. 317 ГК РФ указывает, что пересчёт осуществляется по официальному курсу на дату фактического платежа. Судом денежные суммы, составляющие задолженность Л. по договору, заключённому в иностранной валюте, исчислены исходя из курса евро на день заключения договора займа. Вместе с тем договор займа не содержит соглашения сторон по возврату долга в рублёвом эквиваленте по курсу Банка России на день заключения договора. Указанные требования закона и указания Пленума Верховного Суда Российской Федерации судами первой и апелляционной инстанций при рассмотрении данного дела выполнены не были.</w:t>
      </w:r>
      <w:r>
        <w:rPr>
          <w:sz w:val="28"/>
          <w:szCs w:val="28"/>
        </w:rPr>
        <w:t xml:space="preserve"> </w:t>
      </w:r>
    </w:p>
    <w:p w:rsidR="003921EB" w:rsidRDefault="003921EB" w:rsidP="003921EB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3921EB">
        <w:rPr>
          <w:b/>
          <w:i/>
          <w:iCs/>
          <w:sz w:val="28"/>
          <w:szCs w:val="28"/>
        </w:rPr>
        <w:t>Определение № 5-КГ19-55</w:t>
      </w:r>
    </w:p>
    <w:p w:rsidR="003921EB" w:rsidRDefault="003921EB" w:rsidP="003921E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1EB">
        <w:rPr>
          <w:rFonts w:ascii="Times New Roman" w:hAnsi="Times New Roman" w:cs="Times New Roman"/>
          <w:b/>
          <w:bCs/>
          <w:sz w:val="28"/>
          <w:szCs w:val="28"/>
        </w:rPr>
        <w:t>4. К договорам ипотеки, заключённым после 1 июля 2014 г.1, применяются общие положения о залоге, содержащиеся в ГК РФ и закрепляющие требования к государственной регистрации ипотеки путём внесения соответствующей записи об ограничении права в Единый государственный реестр недвижимости. Сам договор ипотеки регистрации не подлежит и считается заключённым с момента достижения сторонами соглашения по всем существенным условиям договора.</w:t>
      </w:r>
    </w:p>
    <w:p w:rsidR="003921EB" w:rsidRDefault="003921EB" w:rsidP="003921EB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3921EB">
        <w:rPr>
          <w:b/>
          <w:i/>
          <w:iCs/>
          <w:sz w:val="28"/>
          <w:szCs w:val="28"/>
        </w:rPr>
        <w:t>Определение № 49-КГ19-9</w:t>
      </w:r>
    </w:p>
    <w:p w:rsidR="003921EB" w:rsidRDefault="003921EB" w:rsidP="003921E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1EB">
        <w:rPr>
          <w:rFonts w:ascii="Times New Roman" w:hAnsi="Times New Roman" w:cs="Times New Roman"/>
          <w:b/>
          <w:bCs/>
          <w:sz w:val="28"/>
          <w:szCs w:val="28"/>
        </w:rPr>
        <w:t>5. Заключение договоров об участии в долевом строительстве и об уступке права требования по таким договорам с одновременной передачей их для государственной регистрации не противоречит требованиям закона.</w:t>
      </w:r>
    </w:p>
    <w:p w:rsidR="003921EB" w:rsidRDefault="003921EB" w:rsidP="00EF4A71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3921EB">
        <w:rPr>
          <w:b/>
          <w:i/>
          <w:iCs/>
          <w:sz w:val="28"/>
          <w:szCs w:val="28"/>
        </w:rPr>
        <w:t>Определение № 14-КГ19-1</w:t>
      </w:r>
    </w:p>
    <w:p w:rsidR="003921EB" w:rsidRDefault="00EF4A71" w:rsidP="003921E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A71">
        <w:rPr>
          <w:rFonts w:ascii="Times New Roman" w:hAnsi="Times New Roman" w:cs="Times New Roman"/>
          <w:b/>
          <w:bCs/>
          <w:sz w:val="28"/>
          <w:szCs w:val="28"/>
        </w:rPr>
        <w:t>7. Если решение суда о возложении на должника обязанности по исполнению обязательства в натуре исполняется после 1 июня 2015 г., то по заявлению кредитора на случай неисполнения указанного судебного решения в его пользу может быть присуждена денежная сум</w:t>
      </w:r>
      <w:r>
        <w:rPr>
          <w:rFonts w:ascii="Times New Roman" w:hAnsi="Times New Roman" w:cs="Times New Roman"/>
          <w:b/>
          <w:bCs/>
          <w:sz w:val="28"/>
          <w:szCs w:val="28"/>
        </w:rPr>
        <w:t>ма в порядке, предусмотренном пунктом 1 статьи</w:t>
      </w:r>
      <w:r w:rsidRPr="00EF4A71">
        <w:rPr>
          <w:rFonts w:ascii="Times New Roman" w:hAnsi="Times New Roman" w:cs="Times New Roman"/>
          <w:b/>
          <w:bCs/>
          <w:sz w:val="28"/>
          <w:szCs w:val="28"/>
        </w:rPr>
        <w:t xml:space="preserve"> 308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4A71">
        <w:rPr>
          <w:rFonts w:ascii="Times New Roman" w:hAnsi="Times New Roman" w:cs="Times New Roman"/>
          <w:b/>
          <w:bCs/>
          <w:sz w:val="28"/>
          <w:szCs w:val="28"/>
        </w:rPr>
        <w:t>3 ГК РФ.</w:t>
      </w:r>
    </w:p>
    <w:p w:rsidR="00EF4A71" w:rsidRDefault="00EF4A71" w:rsidP="003921EB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EF4A71">
        <w:rPr>
          <w:rFonts w:ascii="Times New Roman" w:hAnsi="Times New Roman" w:cs="Times New Roman"/>
          <w:sz w:val="28"/>
          <w:szCs w:val="28"/>
        </w:rPr>
        <w:t>В связи с изложенным выше выводы суда апелляционной инстанции об отказе в удовлетворении заявления К. о присуждени</w:t>
      </w:r>
      <w:r>
        <w:rPr>
          <w:rFonts w:ascii="Times New Roman" w:hAnsi="Times New Roman" w:cs="Times New Roman"/>
          <w:sz w:val="28"/>
          <w:szCs w:val="28"/>
        </w:rPr>
        <w:t>и в её</w:t>
      </w:r>
      <w:r w:rsidRPr="00EF4A71">
        <w:rPr>
          <w:rFonts w:ascii="Times New Roman" w:hAnsi="Times New Roman" w:cs="Times New Roman"/>
          <w:sz w:val="28"/>
          <w:szCs w:val="28"/>
        </w:rPr>
        <w:t xml:space="preserve"> пользу судебной неустойки в связи с неисполнением должником решения суда, поскольку на момент вынесения решения суда такая мера ответственности за неисполнение судебного акта (как судебна</w:t>
      </w:r>
      <w:r>
        <w:rPr>
          <w:rFonts w:ascii="Times New Roman" w:hAnsi="Times New Roman" w:cs="Times New Roman"/>
          <w:sz w:val="28"/>
          <w:szCs w:val="28"/>
        </w:rPr>
        <w:t xml:space="preserve">я неустойка), предусмотренная статьёй </w:t>
      </w:r>
      <w:r w:rsidRPr="00EF4A71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A71">
        <w:rPr>
          <w:rFonts w:ascii="Times New Roman" w:hAnsi="Times New Roman" w:cs="Times New Roman"/>
          <w:sz w:val="28"/>
          <w:szCs w:val="28"/>
        </w:rPr>
        <w:t>3 ГК РФ, не была введена, основан на неправильном толковании норм права.</w:t>
      </w:r>
      <w:r>
        <w:rPr>
          <w:sz w:val="28"/>
          <w:szCs w:val="28"/>
        </w:rPr>
        <w:t xml:space="preserve"> </w:t>
      </w:r>
    </w:p>
    <w:p w:rsidR="00EF4A71" w:rsidRDefault="00EF4A71" w:rsidP="00EF4A71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EF4A71">
        <w:rPr>
          <w:b/>
          <w:i/>
          <w:iCs/>
          <w:sz w:val="28"/>
          <w:szCs w:val="28"/>
        </w:rPr>
        <w:t>Определение № 14-КГ19-5</w:t>
      </w:r>
    </w:p>
    <w:p w:rsidR="00EF4A71" w:rsidRDefault="00EF4A71" w:rsidP="00EF4A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A71">
        <w:rPr>
          <w:rFonts w:ascii="Times New Roman" w:hAnsi="Times New Roman" w:cs="Times New Roman"/>
          <w:b/>
          <w:bCs/>
          <w:sz w:val="28"/>
          <w:szCs w:val="28"/>
        </w:rPr>
        <w:t xml:space="preserve">8. Если после возбуждения исполнительного производства должник располагал денежными средствами и иным имуществом, достаточным для погашения задолженности перед взыскателем в полном </w:t>
      </w:r>
      <w:r w:rsidR="00A65E02" w:rsidRPr="00EF4A71">
        <w:rPr>
          <w:rFonts w:ascii="Times New Roman" w:hAnsi="Times New Roman" w:cs="Times New Roman"/>
          <w:b/>
          <w:bCs/>
          <w:sz w:val="28"/>
          <w:szCs w:val="28"/>
        </w:rPr>
        <w:t>объёме</w:t>
      </w:r>
      <w:r w:rsidRPr="00EF4A71">
        <w:rPr>
          <w:rFonts w:ascii="Times New Roman" w:hAnsi="Times New Roman" w:cs="Times New Roman"/>
          <w:b/>
          <w:bCs/>
          <w:sz w:val="28"/>
          <w:szCs w:val="28"/>
        </w:rPr>
        <w:t xml:space="preserve">, однако в результате бездействия судебного пристава-исполнителя такая </w:t>
      </w:r>
      <w:r w:rsidRPr="00EF4A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возможность была утрачена, взыскатель вправе требовать возмещения вреда в порядке, установленном ст. 1069 ГК РФ.</w:t>
      </w:r>
    </w:p>
    <w:p w:rsidR="00EF4A71" w:rsidRDefault="00EF4A71" w:rsidP="00EF4A71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EF4A71">
        <w:rPr>
          <w:b/>
          <w:i/>
          <w:iCs/>
          <w:sz w:val="28"/>
          <w:szCs w:val="28"/>
        </w:rPr>
        <w:t>Определение № 5-КГ19-56</w:t>
      </w:r>
    </w:p>
    <w:p w:rsidR="003921EB" w:rsidRDefault="00EF4A71" w:rsidP="003921E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A71">
        <w:rPr>
          <w:rFonts w:ascii="Times New Roman" w:hAnsi="Times New Roman" w:cs="Times New Roman"/>
          <w:b/>
          <w:bCs/>
          <w:sz w:val="28"/>
          <w:szCs w:val="28"/>
        </w:rPr>
        <w:t>15. Изменение статуса третьего лица на соответчика на стадии рассмотрения дела в суде апелляционной инстанции признано неправомерным.</w:t>
      </w:r>
    </w:p>
    <w:p w:rsidR="00EF4A71" w:rsidRDefault="00EF4A71" w:rsidP="00392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EF4A71">
        <w:rPr>
          <w:rFonts w:ascii="Times New Roman" w:hAnsi="Times New Roman" w:cs="Times New Roman"/>
          <w:sz w:val="28"/>
          <w:szCs w:val="28"/>
        </w:rPr>
        <w:t>Вместе с тем изменение процессуального статуса ИП К. с третьего лица на соответчика на стадии рассмотрения дела в суде апелляционной инстанции ограничило его процессуальные права как стороны по делу, в то время как в силу ч. 3 ст. 38 ГПК РФ стороны должны пользоваться равными процессуальными правами, предусмотренными ст. 35 ГПК РФ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F4A71" w:rsidRDefault="00EF4A71" w:rsidP="00EF4A71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EF4A71">
        <w:rPr>
          <w:b/>
          <w:i/>
          <w:iCs/>
          <w:sz w:val="28"/>
          <w:szCs w:val="28"/>
        </w:rPr>
        <w:t>Определение № 65-КГ19-3</w:t>
      </w:r>
    </w:p>
    <w:p w:rsidR="00EF4A71" w:rsidRDefault="00EF4A71" w:rsidP="00EF4A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A71">
        <w:rPr>
          <w:rFonts w:ascii="Times New Roman" w:hAnsi="Times New Roman" w:cs="Times New Roman"/>
          <w:b/>
          <w:bCs/>
          <w:sz w:val="28"/>
          <w:szCs w:val="28"/>
        </w:rPr>
        <w:t>16. В качестве уважительных причин пропуска срока подачи кассационной жалобы могут быть признаны не только обстоятельства, относящиеся к личности заявителя, такие как тяжёлая болезнь, беспомощное состояние, неграмотность и т.п., но и обстоятельства, объективно препятствовавшие лицу, добросовестно пользующемуся своими процессуальными правами, реализовать право на обжалование судебного постановления в установленный законом срок, включая разумный срок для ознакомления с судебным актом и для подготовки документа лицом, которому судебный акт был направлен по почте.</w:t>
      </w:r>
    </w:p>
    <w:p w:rsidR="00EF4A71" w:rsidRDefault="00EF4A71" w:rsidP="00EF4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EF4A71">
        <w:rPr>
          <w:rFonts w:ascii="Times New Roman" w:hAnsi="Times New Roman" w:cs="Times New Roman"/>
          <w:sz w:val="28"/>
          <w:szCs w:val="28"/>
        </w:rPr>
        <w:t>Судом первой инстанции оставлено без внимания, что к заявлению о восстановлении пропущенного процессуального срока Т. приложена копия удостоверения многодетной семьи, согласно которому у нее имеется трое детей в возрасте до 18 лет, в том числе дочь, 2015 года рождения. В судебном заседании 27 июля 2017 г. представитель Т. по доверенности Ш. на вопрос председательствующего о причинах, препятствовавших обращению Т. в суд кассационной инстанции с жалобой в более ранние сроки, пояснила, что Т. ранее не имела возможности собрать все необходимые документы для подачи кассационной жалобы и обратиться за</w:t>
      </w:r>
      <w:r w:rsidR="004C39EF">
        <w:rPr>
          <w:rFonts w:ascii="Times New Roman" w:hAnsi="Times New Roman" w:cs="Times New Roman"/>
          <w:sz w:val="28"/>
          <w:szCs w:val="28"/>
        </w:rPr>
        <w:t xml:space="preserve"> юридической помощью, так как её</w:t>
      </w:r>
      <w:r w:rsidRPr="00EF4A71">
        <w:rPr>
          <w:rFonts w:ascii="Times New Roman" w:hAnsi="Times New Roman" w:cs="Times New Roman"/>
          <w:sz w:val="28"/>
          <w:szCs w:val="28"/>
        </w:rPr>
        <w:t xml:space="preserve"> супруг в этот период отсутствовал дома в связи с работой вахтовым методом, а она сама находится в отпуске по уходу за малолетним </w:t>
      </w:r>
      <w:r w:rsidR="004C39EF" w:rsidRPr="00EF4A71">
        <w:rPr>
          <w:rFonts w:ascii="Times New Roman" w:hAnsi="Times New Roman" w:cs="Times New Roman"/>
          <w:sz w:val="28"/>
          <w:szCs w:val="28"/>
        </w:rPr>
        <w:t>ребёнком</w:t>
      </w:r>
      <w:r w:rsidRPr="00EF4A71">
        <w:rPr>
          <w:rFonts w:ascii="Times New Roman" w:hAnsi="Times New Roman" w:cs="Times New Roman"/>
          <w:sz w:val="28"/>
          <w:szCs w:val="28"/>
        </w:rPr>
        <w:t>, которого не с кем оставить (протокол судебного заседания от 27 июля 2017 г.)</w:t>
      </w:r>
      <w:r w:rsidR="004C39EF">
        <w:rPr>
          <w:rFonts w:ascii="Times New Roman" w:hAnsi="Times New Roman" w:cs="Times New Roman"/>
          <w:sz w:val="28"/>
          <w:szCs w:val="28"/>
        </w:rPr>
        <w:t>….</w:t>
      </w:r>
    </w:p>
    <w:p w:rsidR="004C39EF" w:rsidRDefault="004C39EF" w:rsidP="004C39EF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4C39EF">
        <w:rPr>
          <w:b/>
          <w:i/>
          <w:iCs/>
          <w:sz w:val="28"/>
          <w:szCs w:val="28"/>
        </w:rPr>
        <w:t>Определение № 11-КГ18-17</w:t>
      </w:r>
    </w:p>
    <w:p w:rsidR="004C39EF" w:rsidRDefault="004C39EF" w:rsidP="004C39E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17. Если после исполнения первой части договора </w:t>
      </w:r>
      <w:proofErr w:type="spellStart"/>
      <w:r w:rsidRPr="004C39EF">
        <w:rPr>
          <w:rFonts w:ascii="Times New Roman" w:hAnsi="Times New Roman" w:cs="Times New Roman"/>
          <w:b/>
          <w:bCs/>
          <w:sz w:val="28"/>
          <w:szCs w:val="28"/>
        </w:rPr>
        <w:t>репо</w:t>
      </w:r>
      <w:proofErr w:type="spellEnd"/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продавца по второй части договора возбуждено конкурсное производство и обязательство по передаче имущества покупателю не исполнено, то продавец по второй части договора не вправе требовать от покупателя уплаты покупной цены в полном объёме.</w:t>
      </w:r>
    </w:p>
    <w:p w:rsidR="004C39EF" w:rsidRDefault="004C39EF" w:rsidP="004C39EF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4C39EF">
        <w:rPr>
          <w:b/>
          <w:i/>
          <w:iCs/>
          <w:sz w:val="28"/>
          <w:szCs w:val="28"/>
        </w:rPr>
        <w:t>Определение № 305-ЭС19-4324</w:t>
      </w:r>
    </w:p>
    <w:p w:rsidR="004C39EF" w:rsidRPr="004C39EF" w:rsidRDefault="004C39EF" w:rsidP="004C39E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18. Неисполнение бывшим руководителем должника обязанности передать документацию должника вследствие объективных факторов, </w:t>
      </w:r>
      <w:r w:rsidRPr="004C39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находящихся вне его контроля, не может свидетельствовать о наличии интереса такого руководителя в сокрытии соответствующей информации и, соответственно, являться основанием для применения презумпции вины в</w:t>
      </w:r>
      <w:r>
        <w:rPr>
          <w:b/>
          <w:bCs/>
          <w:sz w:val="28"/>
          <w:szCs w:val="28"/>
        </w:rPr>
        <w:t xml:space="preserve"> </w:t>
      </w:r>
      <w:r w:rsidRPr="004C39EF">
        <w:rPr>
          <w:rFonts w:ascii="Times New Roman" w:hAnsi="Times New Roman" w:cs="Times New Roman"/>
          <w:b/>
          <w:bCs/>
          <w:sz w:val="28"/>
          <w:szCs w:val="28"/>
        </w:rPr>
        <w:t>доведении должника до банкротства.</w:t>
      </w:r>
    </w:p>
    <w:p w:rsidR="003921EB" w:rsidRDefault="004C39EF" w:rsidP="00A65E0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4C39EF">
        <w:rPr>
          <w:rFonts w:ascii="Times New Roman" w:hAnsi="Times New Roman" w:cs="Times New Roman"/>
          <w:sz w:val="28"/>
          <w:szCs w:val="28"/>
        </w:rPr>
        <w:t>Однако, когда передача документации становится невозможной ввиду объективных факторов, находящихся вне сферы контроля директора, соответствующая презумпция применена быть не может. В частности, подобная объективная невозможность исполнения руководителем обязанности по передаче арбитражному управляющему документации должника возникает при изъятии документации должника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4C39EF" w:rsidRDefault="004C39EF" w:rsidP="00A65E02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4C39EF">
        <w:rPr>
          <w:b/>
          <w:i/>
          <w:iCs/>
          <w:sz w:val="28"/>
          <w:szCs w:val="28"/>
        </w:rPr>
        <w:t>Определение № 305-ЭС19-10079</w:t>
      </w:r>
    </w:p>
    <w:p w:rsidR="004C39EF" w:rsidRDefault="004C39EF" w:rsidP="004C39E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19. Акты взаимозачёта не могут быть оспорены по правилам об оспаривании сделок, совершенных с предпочтением (ст. 611 Закона о банкротстве), если они носят сверочный характер и констатируют объем исполненного каждой стороной в рамках одного обязательства при эквивалентности встречных предоставлений. </w:t>
      </w:r>
    </w:p>
    <w:p w:rsidR="004C39EF" w:rsidRDefault="004C39EF" w:rsidP="00A65E0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4C39EF">
        <w:rPr>
          <w:rFonts w:ascii="Times New Roman" w:hAnsi="Times New Roman" w:cs="Times New Roman"/>
          <w:sz w:val="28"/>
          <w:szCs w:val="28"/>
        </w:rPr>
        <w:t>Подобные акты сами по себе не влекли наступление правовых последствий, не опосредовали выбытие из имущественной сферы должника какого-либо актива, а носили сверочный характер, поэтому они не могут быть оспорены в качестве самостоятельных сделок в рамках дела о банкротстве (ст. 611 Закона о банкротстве, ст. 153 ГК РФ). При этом исполнение должника по единому договору являлось не последующим, а первоначальным, прежде всего он выполнял работы, а уже затем происходил расчет с ним посредством передачи прав на квартиры, то есть в данной ситуации отсутствовал признак предпочтения (ст. 613 Закона о банкротстве). В то же время конкурсный управляющий эквивалентность осуществляемых по договору предоставлений под сомнение не ставил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C39EF" w:rsidRDefault="004C39EF" w:rsidP="00A65E02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4C39EF">
        <w:rPr>
          <w:b/>
          <w:i/>
          <w:iCs/>
          <w:sz w:val="28"/>
          <w:szCs w:val="28"/>
        </w:rPr>
        <w:t>Определение № 305-ЭС19-10064</w:t>
      </w:r>
    </w:p>
    <w:p w:rsidR="004C39EF" w:rsidRDefault="004C39EF" w:rsidP="00A65E02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21. Поскольку процедура реализации имущества гражданина, признанного банкротом, не погашает все оставшиеся неудовлетворёнными требования кредиторов, в частности требования, при возникновении и исполнении которых должник действовал недобросовестно, кредиторы по оставшимся непогашенными требованиям, не подпадающим под положения </w:t>
      </w:r>
      <w:proofErr w:type="spellStart"/>
      <w:r w:rsidRPr="004C39E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39E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4C39EF">
        <w:rPr>
          <w:rFonts w:ascii="Times New Roman" w:hAnsi="Times New Roman" w:cs="Times New Roman"/>
          <w:b/>
          <w:bCs/>
          <w:sz w:val="28"/>
          <w:szCs w:val="28"/>
        </w:rPr>
        <w:t>. 5 и 6 ст. 21328 Закона о банкротстве, вправе обратиться в суд с заявлением о выдаче по ним исполнительных листов.</w:t>
      </w:r>
    </w:p>
    <w:p w:rsidR="004C39EF" w:rsidRDefault="004C39EF" w:rsidP="00A65E02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4C39EF">
        <w:rPr>
          <w:b/>
          <w:i/>
          <w:iCs/>
          <w:sz w:val="28"/>
          <w:szCs w:val="28"/>
        </w:rPr>
        <w:t>Определение № 307-ЭС16-12310(4)</w:t>
      </w:r>
    </w:p>
    <w:p w:rsidR="004C39EF" w:rsidRDefault="004C39EF" w:rsidP="00A65E02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22. Отсутствие уведомления от арендодателя об изменении регулируемой арендной платы, которое арендодатель должен направить в соответствии с условиями договора, не освобождает арендатора от обязанности заплатить за аренду в размере, установленном соответствующими нормативными правовыми актами, но при этом в </w:t>
      </w:r>
      <w:r w:rsidRPr="004C39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силу положений ст. 406 ГК РФ позволяет ему оспаривать правомерность начисления арендодателем неустойки за нарушение сроков внесения этой платы.</w:t>
      </w:r>
    </w:p>
    <w:p w:rsidR="004C39EF" w:rsidRDefault="004C39EF" w:rsidP="00A65E02">
      <w:pPr>
        <w:spacing w:after="120"/>
        <w:ind w:firstLine="567"/>
        <w:jc w:val="right"/>
        <w:rPr>
          <w:b/>
          <w:i/>
          <w:iCs/>
          <w:sz w:val="28"/>
          <w:szCs w:val="28"/>
        </w:rPr>
      </w:pPr>
      <w:r w:rsidRPr="004C39EF">
        <w:rPr>
          <w:b/>
          <w:i/>
          <w:iCs/>
          <w:sz w:val="28"/>
          <w:szCs w:val="28"/>
        </w:rPr>
        <w:t>Определение № 305-ЭС19-12083</w:t>
      </w:r>
    </w:p>
    <w:p w:rsidR="004C39EF" w:rsidRDefault="004C39EF" w:rsidP="00A65E02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41. Хозяйствующий субъект, осуществляющий торговую деятельность по продаже продовольственных товаров посредством организации торговой сети, не </w:t>
      </w:r>
      <w:r w:rsidR="00A65E02" w:rsidRPr="004C39EF">
        <w:rPr>
          <w:rFonts w:ascii="Times New Roman" w:hAnsi="Times New Roman" w:cs="Times New Roman"/>
          <w:b/>
          <w:bCs/>
          <w:sz w:val="28"/>
          <w:szCs w:val="28"/>
        </w:rPr>
        <w:t>лишён</w:t>
      </w: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возможности по взысканию с поставщиков в качестве </w:t>
      </w:r>
      <w:r w:rsidR="00A65E02" w:rsidRPr="004C39EF">
        <w:rPr>
          <w:rFonts w:ascii="Times New Roman" w:hAnsi="Times New Roman" w:cs="Times New Roman"/>
          <w:b/>
          <w:bCs/>
          <w:sz w:val="28"/>
          <w:szCs w:val="28"/>
        </w:rPr>
        <w:t>убытков,</w:t>
      </w:r>
      <w:r w:rsidRPr="004C39EF">
        <w:rPr>
          <w:rFonts w:ascii="Times New Roman" w:hAnsi="Times New Roman" w:cs="Times New Roman"/>
          <w:b/>
          <w:bCs/>
          <w:sz w:val="28"/>
          <w:szCs w:val="28"/>
        </w:rPr>
        <w:t xml:space="preserve"> наложенных на него за реализацию некачественной продукции административных штрафов.</w:t>
      </w:r>
    </w:p>
    <w:p w:rsidR="00A65E02" w:rsidRDefault="00A65E02" w:rsidP="00A65E02">
      <w:pPr>
        <w:ind w:firstLine="567"/>
        <w:jc w:val="right"/>
        <w:rPr>
          <w:b/>
          <w:i/>
          <w:iCs/>
          <w:sz w:val="28"/>
          <w:szCs w:val="28"/>
        </w:rPr>
      </w:pPr>
      <w:r w:rsidRPr="00A65E02">
        <w:rPr>
          <w:b/>
          <w:i/>
          <w:iCs/>
          <w:sz w:val="28"/>
          <w:szCs w:val="28"/>
        </w:rPr>
        <w:t>Определение № 309-ЭС19-601</w:t>
      </w:r>
    </w:p>
    <w:p w:rsidR="00A65E02" w:rsidRPr="00A65E02" w:rsidRDefault="00A65E02" w:rsidP="00A65E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E02">
        <w:rPr>
          <w:rFonts w:ascii="Times New Roman" w:hAnsi="Times New Roman" w:cs="Times New Roman"/>
          <w:b/>
          <w:bCs/>
          <w:sz w:val="28"/>
          <w:szCs w:val="28"/>
        </w:rPr>
        <w:t xml:space="preserve">ВОПРОС 6. Какими документами подтверждается соблюдение требований ч. 2 ст. 49 ГПК РФ, ч. 3 статьи 59 АПК РФ, ч. 1 ст. 55 КАС РФ о наличии высшего юридического образования или ученой степени по юридической специальности у лиц, выступающих представителями в суде?     </w:t>
      </w:r>
    </w:p>
    <w:p w:rsidR="00A65E02" w:rsidRPr="00A65E02" w:rsidRDefault="00A65E02" w:rsidP="00A65E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A65E02">
        <w:rPr>
          <w:sz w:val="28"/>
          <w:szCs w:val="28"/>
        </w:rPr>
        <w:t xml:space="preserve">С учётом изложенного соблюдение требований ч. 2 ст. 49 ГПК РФ, ч. 3 ст. 59 АПК РФ, ч. 1 ст. 55 КАС РФ о наличии высшего юридического образования у лиц, выступающих представителями в суде, может подтверждаться дипломом бакалавра, дипломом специалиста, дипломом магистра, дипломом об окончании аспирантуры (адъюнктуры) по юридической специальности, дипломом кандидата наук или дипломом доктора наук. Сведения о наличии у представителя высшего юридического образования, полученного до вступления в силу Закона об образовании, могут также подтверждаться иными документами, выданными в соответствии с ранее действовавшим правовым регулированием. Документы об образовании представляются в суд в подлиннике или в форме надлежащим образом заверенной копии. При этом под надлежащим заверением копии документа об образовании понимается, в частности: заверение копии документа нотариусом; </w:t>
      </w:r>
    </w:p>
    <w:p w:rsidR="00A65E02" w:rsidRPr="00A65E02" w:rsidRDefault="00A65E02" w:rsidP="00A65E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02">
        <w:rPr>
          <w:rFonts w:ascii="Times New Roman" w:hAnsi="Times New Roman" w:cs="Times New Roman"/>
          <w:sz w:val="28"/>
          <w:szCs w:val="28"/>
        </w:rPr>
        <w:t>заверение копии документа учреждением и организацией, от которых исходит соответствующий документ (абзац первый п. 1 Указа Президиума Верховного Совета СССР от 4 августа 1983 г. № 9779-Х «О порядке выдачи и свидетельствования предприятиями, учреждениями и организациями копий документов, касающихся прав граждан»); заверение копии документа организацией, в которой представитель работает (п. 1 Указа Президиума Верховного Совета СССР от 4 августа 1983 г. № 9779-Х «О порядке выдачи и свидетельствования предприятиями, учреждениями и организациями копий документов, касающихся прав граждан»); заверение копии документа судьей, в чьем производстве находится дело. В случае представления надлежащим образом заверенной копии документа об образовании представления оригинала документа не требуется. Вместе с тем суд вправе на основании ч. 6 ст. 67, ч. 2 ст. 71 ГПК РФ, ч. 9 ст. 75 АПК РФ, ч. 3 ст. 70 КАС РФ потребовать для ознакомления оригинал документа</w:t>
      </w:r>
      <w:r>
        <w:rPr>
          <w:rFonts w:ascii="Times New Roman" w:hAnsi="Times New Roman" w:cs="Times New Roman"/>
          <w:sz w:val="28"/>
          <w:szCs w:val="28"/>
        </w:rPr>
        <w:t>….</w:t>
      </w:r>
    </w:p>
    <w:sectPr w:rsidR="00A65E02" w:rsidRPr="00A65E02" w:rsidSect="00A65E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EB"/>
    <w:rsid w:val="003921EB"/>
    <w:rsid w:val="004C39EF"/>
    <w:rsid w:val="00946DE5"/>
    <w:rsid w:val="009935AD"/>
    <w:rsid w:val="00A65E02"/>
    <w:rsid w:val="00CA5D48"/>
    <w:rsid w:val="00E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2</cp:revision>
  <dcterms:created xsi:type="dcterms:W3CDTF">2020-01-20T10:48:00Z</dcterms:created>
  <dcterms:modified xsi:type="dcterms:W3CDTF">2020-01-20T10:48:00Z</dcterms:modified>
</cp:coreProperties>
</file>